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63040DA2"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BF3A7D">
        <w:rPr>
          <w:rFonts w:ascii="Arial" w:eastAsia="宋体" w:hAnsi="Arial" w:cs="Arial"/>
          <w:b/>
          <w:bCs/>
          <w:sz w:val="22"/>
          <w:lang w:val="en-GB"/>
        </w:rPr>
        <w:t>10</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bookmarkStart w:id="0" w:name="_GoBack"/>
      <w:r w:rsidRPr="004A06BE">
        <w:rPr>
          <w:rFonts w:ascii="Arial" w:eastAsia="MS Mincho" w:hAnsi="Arial"/>
          <w:b/>
          <w:sz w:val="22"/>
          <w:lang w:val="x-none"/>
        </w:rPr>
        <w:t>R1-</w:t>
      </w:r>
      <w:r w:rsidR="003A5C6C" w:rsidRPr="003A5C6C">
        <w:t xml:space="preserve"> </w:t>
      </w:r>
      <w:r w:rsidR="00C4724D" w:rsidRPr="00C4724D">
        <w:rPr>
          <w:rFonts w:ascii="Arial" w:eastAsia="宋体" w:hAnsi="Arial"/>
          <w:b/>
          <w:sz w:val="22"/>
          <w:lang w:val="x-none"/>
        </w:rPr>
        <w:t>2206106</w:t>
      </w:r>
      <w:bookmarkEnd w:id="0"/>
    </w:p>
    <w:p w14:paraId="19BAF21F" w14:textId="772E5F7C" w:rsidR="00227E80" w:rsidRPr="004A06BE" w:rsidRDefault="00BF3A7D" w:rsidP="00227E80">
      <w:pPr>
        <w:tabs>
          <w:tab w:val="center" w:pos="4536"/>
          <w:tab w:val="right" w:pos="9072"/>
        </w:tabs>
        <w:spacing w:after="120"/>
        <w:ind w:left="-2"/>
        <w:rPr>
          <w:rFonts w:ascii="Arial" w:eastAsia="宋体" w:hAnsi="Arial" w:cs="Arial"/>
          <w:b/>
          <w:bCs/>
          <w:sz w:val="22"/>
          <w:lang w:val="x-none"/>
        </w:rPr>
      </w:pPr>
      <w:r w:rsidRPr="00EF2708">
        <w:rPr>
          <w:rFonts w:ascii="Arial" w:eastAsia="宋体" w:hAnsi="Arial" w:cs="Arial"/>
          <w:b/>
          <w:bCs/>
          <w:sz w:val="22"/>
          <w:lang w:val="x-none"/>
        </w:rPr>
        <w:t>Toulouse, France, August 22</w:t>
      </w:r>
      <w:r w:rsidRPr="00C4724D">
        <w:rPr>
          <w:rFonts w:ascii="Arial" w:eastAsia="宋体" w:hAnsi="Arial" w:cs="Arial"/>
          <w:b/>
          <w:bCs/>
          <w:sz w:val="22"/>
          <w:vertAlign w:val="superscript"/>
          <w:lang w:val="x-none"/>
        </w:rPr>
        <w:t>nd</w:t>
      </w:r>
      <w:r w:rsidRPr="00EF2708">
        <w:rPr>
          <w:rFonts w:ascii="Arial" w:eastAsia="宋体" w:hAnsi="Arial" w:cs="Arial"/>
          <w:b/>
          <w:bCs/>
          <w:sz w:val="22"/>
          <w:lang w:val="x-none"/>
        </w:rPr>
        <w:t xml:space="preserve"> – 26</w:t>
      </w:r>
      <w:r w:rsidRPr="00C4724D">
        <w:rPr>
          <w:rFonts w:ascii="Arial" w:eastAsia="宋体" w:hAnsi="Arial" w:cs="Arial"/>
          <w:b/>
          <w:bCs/>
          <w:sz w:val="22"/>
          <w:vertAlign w:val="superscript"/>
          <w:lang w:val="x-none"/>
        </w:rPr>
        <w:t>th</w:t>
      </w:r>
      <w:r w:rsidRPr="00EF2708">
        <w:rPr>
          <w:rFonts w:ascii="Arial" w:eastAsia="宋体" w:hAnsi="Arial" w:cs="Arial"/>
          <w:b/>
          <w:bCs/>
          <w:sz w:val="22"/>
          <w:lang w:val="x-none"/>
        </w:rPr>
        <w:t>, 2022</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646D83C4" w:rsidR="00BF3A7D" w:rsidRPr="00BF3A7D" w:rsidRDefault="00BF3A7D" w:rsidP="00BF3A7D">
      <w:pPr>
        <w:spacing w:beforeLines="50" w:before="120" w:after="120"/>
        <w:rPr>
          <w:rFonts w:eastAsia="宋体"/>
        </w:rPr>
      </w:pPr>
      <w:r w:rsidRPr="00BF3A7D">
        <w:rPr>
          <w:rFonts w:eastAsia="宋体"/>
        </w:rPr>
        <w:t>In the</w:t>
      </w:r>
      <w:r w:rsidRPr="004A06BE">
        <w:t xml:space="preserve"> RAN1 #10</w:t>
      </w:r>
      <w:r>
        <w:t>9</w:t>
      </w:r>
      <w:r w:rsidRPr="004A06BE">
        <w:t xml:space="preserve">-e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4B008983" w14:textId="77777777" w:rsidR="004D14D0" w:rsidRDefault="004D14D0" w:rsidP="003420DC">
      <w:pPr>
        <w:overflowPunct w:val="0"/>
        <w:autoSpaceDE w:val="0"/>
        <w:autoSpaceDN w:val="0"/>
        <w:adjustRightInd w:val="0"/>
        <w:spacing w:after="120"/>
        <w:contextualSpacing/>
        <w:jc w:val="both"/>
        <w:textAlignment w:val="baseline"/>
        <w:rPr>
          <w:bCs/>
        </w:rPr>
      </w:pPr>
    </w:p>
    <w:p w14:paraId="680A4525" w14:textId="77777777" w:rsidR="00E20A1D" w:rsidRPr="00E20A1D" w:rsidRDefault="00E20A1D" w:rsidP="00E20A1D">
      <w:pPr>
        <w:spacing w:after="120"/>
        <w:rPr>
          <w:lang w:eastAsia="en-GB"/>
        </w:rPr>
      </w:pPr>
      <w:r w:rsidRPr="00E20A1D">
        <w:rPr>
          <w:shd w:val="clear" w:color="auto" w:fill="00FF00"/>
        </w:rPr>
        <w:t>Agreement</w:t>
      </w:r>
    </w:p>
    <w:p w14:paraId="6D0B9C0B" w14:textId="77777777" w:rsidR="00E20A1D" w:rsidRPr="00E20A1D" w:rsidRDefault="00E20A1D" w:rsidP="00E20A1D">
      <w:pPr>
        <w:pStyle w:val="ad"/>
        <w:numPr>
          <w:ilvl w:val="0"/>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LLS is used for objective #3 (increasing DMRS ports for MU-MIMO) in Rel.18 MIMO, while SLS can be used optionally.</w:t>
      </w:r>
    </w:p>
    <w:p w14:paraId="716E38A5" w14:textId="77777777" w:rsidR="00E20A1D" w:rsidRPr="00E20A1D" w:rsidRDefault="00E20A1D" w:rsidP="00E20A1D">
      <w:pPr>
        <w:spacing w:after="120"/>
        <w:rPr>
          <w:lang w:eastAsia="en-GB"/>
        </w:rPr>
      </w:pPr>
      <w:r w:rsidRPr="00E20A1D">
        <w:rPr>
          <w:shd w:val="clear" w:color="auto" w:fill="00FF00"/>
        </w:rPr>
        <w:t>Agreement</w:t>
      </w:r>
    </w:p>
    <w:p w14:paraId="2C800C73" w14:textId="77777777" w:rsidR="00E20A1D" w:rsidRPr="00E20A1D" w:rsidRDefault="00E20A1D" w:rsidP="00E20A1D">
      <w:pPr>
        <w:pStyle w:val="ad"/>
        <w:numPr>
          <w:ilvl w:val="0"/>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No EVM discussion is needed for objective #5 (&gt;4 layers PUSCH DMRS) in AI 9.1.3.1 (DMRS) in Rel.18.</w:t>
      </w:r>
    </w:p>
    <w:p w14:paraId="476A7104" w14:textId="77777777" w:rsidR="00E20A1D" w:rsidRPr="00E20A1D" w:rsidRDefault="00E20A1D" w:rsidP="00E20A1D">
      <w:pPr>
        <w:spacing w:after="120"/>
        <w:rPr>
          <w:lang w:eastAsia="en-GB"/>
        </w:rPr>
      </w:pPr>
      <w:r w:rsidRPr="00E20A1D">
        <w:rPr>
          <w:shd w:val="clear" w:color="auto" w:fill="00FF00"/>
        </w:rPr>
        <w:t>Agreement</w:t>
      </w:r>
    </w:p>
    <w:p w14:paraId="597E8D1B" w14:textId="77777777" w:rsidR="00E20A1D" w:rsidRPr="00E20A1D" w:rsidRDefault="00E20A1D" w:rsidP="00E20A1D">
      <w:pPr>
        <w:pStyle w:val="ad"/>
        <w:numPr>
          <w:ilvl w:val="0"/>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LLS for increasing DMRS ports in AI 9.1.3.1 in Rel.18:</w:t>
      </w:r>
    </w:p>
    <w:p w14:paraId="66F818CD"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Evaluated channel: PDSCH as baseline (Companies can additionally submit evaluation results of PUSCH).</w:t>
      </w:r>
    </w:p>
    <w:p w14:paraId="56DC6210"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Evaluation metric:</w:t>
      </w:r>
    </w:p>
    <w:p w14:paraId="5FAAE7BD"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BLER for fixed MCS and rank as baseline</w:t>
      </w:r>
    </w:p>
    <w:p w14:paraId="3A891507"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User throughput for adaptive MCS and rank as optional</w:t>
      </w:r>
    </w:p>
    <w:p w14:paraId="37F87F71"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MSE or NMSE of DMRS as optional</w:t>
      </w:r>
    </w:p>
    <w:p w14:paraId="533DD9FB"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Evaluation baseline (i.e. compared with):</w:t>
      </w:r>
    </w:p>
    <w:p w14:paraId="06E05A6A"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For evaluation of enhanced single-symbol DMRS, baseline refers to Rel.15 single-symbol DMRS or Rel.15 double-symbol DMRS.</w:t>
      </w:r>
    </w:p>
    <w:p w14:paraId="67F93B05"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hAnsi="Times New Roman"/>
          <w:lang w:val="en-US"/>
        </w:rPr>
      </w:pPr>
      <w:r w:rsidRPr="00E20A1D">
        <w:rPr>
          <w:rFonts w:ascii="Times New Roman" w:hAnsi="Times New Roman"/>
          <w:shd w:val="clear" w:color="auto" w:fill="FFFFFF"/>
          <w:lang w:val="en-US"/>
        </w:rPr>
        <w:t>For evaluation of enhanced double-symbol DMRS, baseline refers to Rel.15 double-symbol DMRS.</w:t>
      </w:r>
    </w:p>
    <w:p w14:paraId="2CDD2334" w14:textId="77777777" w:rsidR="00E20A1D" w:rsidRPr="00E20A1D" w:rsidRDefault="00E20A1D" w:rsidP="00E20A1D">
      <w:pPr>
        <w:spacing w:after="120"/>
        <w:rPr>
          <w:lang w:eastAsia="en-GB"/>
        </w:rPr>
      </w:pPr>
      <w:r w:rsidRPr="00E20A1D">
        <w:rPr>
          <w:shd w:val="clear" w:color="auto" w:fill="00FF00"/>
        </w:rPr>
        <w:t>Agreement</w:t>
      </w:r>
    </w:p>
    <w:p w14:paraId="3A9C4D7E" w14:textId="77777777" w:rsidR="00E20A1D" w:rsidRPr="00E20A1D" w:rsidRDefault="00E20A1D" w:rsidP="00E20A1D">
      <w:pPr>
        <w:pStyle w:val="ad"/>
        <w:numPr>
          <w:ilvl w:val="0"/>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Specify to increase the max. </w:t>
      </w:r>
      <w:proofErr w:type="gramStart"/>
      <w:r w:rsidRPr="00E20A1D">
        <w:rPr>
          <w:rFonts w:ascii="Times New Roman" w:eastAsia="Times New Roman" w:hAnsi="Times New Roman"/>
          <w:shd w:val="clear" w:color="auto" w:fill="FFFFFF"/>
          <w:lang w:val="en-US"/>
        </w:rPr>
        <w:t>number</w:t>
      </w:r>
      <w:proofErr w:type="gramEnd"/>
      <w:r w:rsidRPr="00E20A1D">
        <w:rPr>
          <w:rFonts w:ascii="Times New Roman" w:eastAsia="Times New Roman" w:hAnsi="Times New Roman"/>
          <w:shd w:val="clear" w:color="auto" w:fill="FFFFFF"/>
          <w:lang w:val="en-US"/>
        </w:rPr>
        <w:t xml:space="preserve"> of DMRS ports for PDSCH/PUSCH larger than Rel.15 for CP-OFDM without increasing the DMRS overhead.</w:t>
      </w:r>
    </w:p>
    <w:p w14:paraId="1955BF2E"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Strive to have common design of DMRS enhancement for PDSCH and PUSCH</w:t>
      </w:r>
      <w:r w:rsidRPr="00E20A1D">
        <w:rPr>
          <w:rFonts w:ascii="Times New Roman" w:hAnsi="Times New Roman"/>
          <w:shd w:val="clear" w:color="auto" w:fill="FFFFFF"/>
          <w:lang w:val="en-US"/>
        </w:rPr>
        <w:t xml:space="preserve"> </w:t>
      </w:r>
      <w:r w:rsidRPr="00E20A1D">
        <w:rPr>
          <w:rFonts w:ascii="Times New Roman" w:eastAsia="Times New Roman" w:hAnsi="Times New Roman"/>
          <w:shd w:val="clear" w:color="auto" w:fill="FFFFFF"/>
          <w:lang w:val="en-US"/>
        </w:rPr>
        <w:t>for a given DMRS Type.</w:t>
      </w:r>
    </w:p>
    <w:p w14:paraId="09940A7A" w14:textId="77777777" w:rsidR="00E20A1D" w:rsidRPr="00E20A1D" w:rsidRDefault="00E20A1D" w:rsidP="00E20A1D">
      <w:pPr>
        <w:spacing w:after="120"/>
        <w:rPr>
          <w:lang w:eastAsia="en-GB"/>
        </w:rPr>
      </w:pPr>
      <w:r w:rsidRPr="00E20A1D">
        <w:rPr>
          <w:shd w:val="clear" w:color="auto" w:fill="00FF00"/>
        </w:rPr>
        <w:t>Agreement</w:t>
      </w:r>
    </w:p>
    <w:p w14:paraId="0F6297BB" w14:textId="77777777" w:rsidR="00E20A1D" w:rsidRPr="00E20A1D" w:rsidRDefault="00E20A1D" w:rsidP="00E20A1D">
      <w:pPr>
        <w:pStyle w:val="ad"/>
        <w:numPr>
          <w:ilvl w:val="0"/>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The maximum number of enhanced DMRS ports in Rel.18 is doubled from Rel.15 DMRS ports:</w:t>
      </w:r>
    </w:p>
    <w:p w14:paraId="54639741"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For DMRS type 1, the max. number of enhanced DMRS ports in Rel.18 for PDSCH/PUSCH is</w:t>
      </w:r>
    </w:p>
    <w:p w14:paraId="0BAE8CE8"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Single symbol DMRS: 8 DMRS ports.</w:t>
      </w:r>
    </w:p>
    <w:p w14:paraId="42605029"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Double symbol DMRS: 16 DMRS ports.</w:t>
      </w:r>
    </w:p>
    <w:p w14:paraId="03F0115C"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For DMRS type 2, the max. number of enhanced DMRS ports in Rel.18 for PDSCH/PUSCH is</w:t>
      </w:r>
    </w:p>
    <w:p w14:paraId="2BD6AF72"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Single symbol DMRS: 12 DMRS ports.</w:t>
      </w:r>
    </w:p>
    <w:p w14:paraId="661564A8"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Double symbol DMRS: 24 DMRS ports.</w:t>
      </w:r>
    </w:p>
    <w:p w14:paraId="5DC35C5E" w14:textId="77777777" w:rsidR="00E20A1D" w:rsidRPr="00E20A1D" w:rsidRDefault="00E20A1D" w:rsidP="00E20A1D">
      <w:pPr>
        <w:spacing w:after="120"/>
        <w:rPr>
          <w:lang w:eastAsia="en-GB"/>
        </w:rPr>
      </w:pPr>
      <w:r w:rsidRPr="00E20A1D">
        <w:rPr>
          <w:shd w:val="clear" w:color="auto" w:fill="00FF00"/>
        </w:rPr>
        <w:t>Agreement</w:t>
      </w:r>
    </w:p>
    <w:p w14:paraId="2ABB6C19" w14:textId="77777777" w:rsidR="00E20A1D" w:rsidRPr="00E20A1D" w:rsidRDefault="00E20A1D" w:rsidP="00E20A1D">
      <w:pPr>
        <w:pStyle w:val="ad"/>
        <w:numPr>
          <w:ilvl w:val="0"/>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To increase the number of DMRS ports for PDSCH/PUSCH, evaluate and, if needed, specify one or more from the following options:</w:t>
      </w:r>
    </w:p>
    <w:p w14:paraId="732ECEC6"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Opt.1 (enhance FD-OCC): Introduce larger FD-OCC length than Rel.15 (e.g. 4 or 6).</w:t>
      </w:r>
    </w:p>
    <w:p w14:paraId="65BF7E02"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lastRenderedPageBreak/>
        <w:t xml:space="preserve">Study aspect includes potential performance degradation in large delay spread, potential scheduling restriction,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w:t>
      </w:r>
      <w:r w:rsidRPr="00E20A1D">
        <w:rPr>
          <w:rFonts w:ascii="Times New Roman" w:hAnsi="Times New Roman"/>
          <w:shd w:val="clear" w:color="auto" w:fill="FFFFFF"/>
          <w:lang w:val="en-US"/>
        </w:rPr>
        <w:t>.</w:t>
      </w:r>
    </w:p>
    <w:p w14:paraId="7E520B22"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Opt.2 (enhance TD-OCC): Utilize TD-OCC over non-contiguous DMRS symbols (e.g. TD-OCC across front/additional DMRS symbols)</w:t>
      </w:r>
    </w:p>
    <w:p w14:paraId="2C821396"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w:t>
      </w:r>
      <w:r w:rsidRPr="00E20A1D">
        <w:rPr>
          <w:rFonts w:ascii="Times New Roman" w:hAnsi="Times New Roman"/>
          <w:shd w:val="clear" w:color="auto" w:fill="FFFFFF"/>
          <w:lang w:val="en-US"/>
        </w:rPr>
        <w:t>.</w:t>
      </w:r>
    </w:p>
    <w:p w14:paraId="15361B44"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Opt.3 (Sparser frequency allocation): increase the number of CDM groups (e.g. larger number of comb/FDM).</w:t>
      </w:r>
    </w:p>
    <w:p w14:paraId="57C0B4E7"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Study aspect includes potential performance degradation in large delay spread, backward compatibility</w:t>
      </w:r>
      <w:r w:rsidRPr="00E20A1D">
        <w:rPr>
          <w:rFonts w:ascii="Times New Roman" w:hAnsi="Times New Roman"/>
          <w:shd w:val="clear" w:color="auto" w:fill="FFFFFF"/>
          <w:lang w:val="en-US"/>
        </w:rPr>
        <w:t>.</w:t>
      </w:r>
    </w:p>
    <w:p w14:paraId="16E8DA69"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Opt.4 (using </w:t>
      </w:r>
      <w:proofErr w:type="spellStart"/>
      <w:r w:rsidRPr="00E20A1D">
        <w:rPr>
          <w:rFonts w:ascii="Times New Roman" w:eastAsia="Times New Roman" w:hAnsi="Times New Roman"/>
          <w:shd w:val="clear" w:color="auto" w:fill="FFFFFF"/>
          <w:lang w:val="en-US"/>
        </w:rPr>
        <w:t>TDMed</w:t>
      </w:r>
      <w:proofErr w:type="spellEnd"/>
      <w:r w:rsidRPr="00E20A1D">
        <w:rPr>
          <w:rFonts w:ascii="Times New Roman" w:eastAsia="Times New Roman" w:hAnsi="Times New Roman"/>
          <w:shd w:val="clear" w:color="auto" w:fill="FFFFFF"/>
          <w:lang w:val="en-US"/>
        </w:rPr>
        <w:t xml:space="preserve"> DMRS symbol): reusing additional DMRS symbols to increase orthogonal DMRS ports</w:t>
      </w:r>
    </w:p>
    <w:p w14:paraId="7E0FB579"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Study aspect includes potential performance degradation in high UE velocity, potential DMRS configuration restriction (e.g. restriction of the number of additional DMRS),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 </w:t>
      </w:r>
    </w:p>
    <w:p w14:paraId="3BB1E02A"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Opt.5 TD-OCC over non-contiguous DMRS symbols combined with FD-OCC or FDM: reusing additional DMRS symbol(s) to improve channel estimation performance.</w:t>
      </w:r>
    </w:p>
    <w:p w14:paraId="31F172D1" w14:textId="77777777" w:rsidR="00E20A1D" w:rsidRPr="00E20A1D" w:rsidRDefault="00E20A1D" w:rsidP="00E20A1D">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w:t>
      </w:r>
    </w:p>
    <w:p w14:paraId="16CE8150"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The same option can be applied to both single symbol DMRS and double symbol DMRS.</w:t>
      </w:r>
    </w:p>
    <w:p w14:paraId="0B43952F" w14:textId="77777777" w:rsidR="00E20A1D" w:rsidRPr="00E20A1D" w:rsidRDefault="00E20A1D" w:rsidP="00E20A1D">
      <w:pPr>
        <w:spacing w:after="120"/>
        <w:rPr>
          <w:lang w:eastAsia="en-GB"/>
        </w:rPr>
      </w:pPr>
      <w:r w:rsidRPr="00E20A1D">
        <w:rPr>
          <w:shd w:val="clear" w:color="auto" w:fill="00FF00"/>
        </w:rPr>
        <w:t>Agreement</w:t>
      </w:r>
    </w:p>
    <w:p w14:paraId="3ABEEB9D" w14:textId="77777777" w:rsidR="00E20A1D" w:rsidRPr="00E20A1D" w:rsidRDefault="00E20A1D" w:rsidP="00E20A1D">
      <w:pPr>
        <w:pStyle w:val="ad"/>
        <w:numPr>
          <w:ilvl w:val="0"/>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To increase the max. nu</w:t>
      </w:r>
      <w:r w:rsidRPr="00E20A1D">
        <w:rPr>
          <w:rFonts w:ascii="Times New Roman" w:eastAsia="Times New Roman" w:hAnsi="Times New Roman"/>
          <w:lang w:val="en-US"/>
        </w:rPr>
        <w:t>mber of DMRS ports for PDSCH/PUSCH compared to Rel.15 DMRS for CP-OFDM without increasing the DMRS overhead,</w:t>
      </w:r>
    </w:p>
    <w:p w14:paraId="4961C113" w14:textId="77777777" w:rsidR="00E20A1D" w:rsidRPr="00E20A1D" w:rsidRDefault="00E20A1D" w:rsidP="00E20A1D">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lang w:val="en-US"/>
        </w:rPr>
        <w:t>Study whether/how to enable MU-MIMO between Rel.15 DMRS ports and Rel.18 DMRS ports, as well as whether/how to enable MU-MIMO among Rel.18 DMRS ports, in the same or different CDM group.</w:t>
      </w:r>
    </w:p>
    <w:p w14:paraId="22A2FB98" w14:textId="77777777" w:rsidR="000C2FC1" w:rsidRDefault="000C2FC1" w:rsidP="000C2FC1">
      <w:pPr>
        <w:spacing w:after="120"/>
        <w:rPr>
          <w:lang w:eastAsia="en-GB"/>
        </w:rPr>
      </w:pPr>
      <w:r>
        <w:rPr>
          <w:shd w:val="clear" w:color="auto" w:fill="00FF00"/>
        </w:rPr>
        <w:t>Agreement</w:t>
      </w:r>
    </w:p>
    <w:p w14:paraId="619AA80B" w14:textId="77777777" w:rsidR="000C2FC1" w:rsidRPr="003D30B5" w:rsidRDefault="000C2FC1" w:rsidP="000C2FC1">
      <w:pPr>
        <w:pStyle w:val="ad"/>
        <w:numPr>
          <w:ilvl w:val="0"/>
          <w:numId w:val="30"/>
        </w:numPr>
        <w:overflowPunct w:val="0"/>
        <w:autoSpaceDE w:val="0"/>
        <w:autoSpaceDN w:val="0"/>
        <w:adjustRightInd w:val="0"/>
        <w:spacing w:afterLines="0" w:after="120"/>
        <w:ind w:leftChars="0"/>
        <w:contextualSpacing/>
        <w:textAlignment w:val="baseline"/>
        <w:rPr>
          <w:rFonts w:eastAsia="MS PGothic"/>
          <w:lang w:val="en-US"/>
        </w:rPr>
      </w:pPr>
      <w:r w:rsidRPr="003D30B5">
        <w:rPr>
          <w:lang w:val="en-US"/>
        </w:rPr>
        <w:t>To increase the max. number of</w:t>
      </w:r>
      <w:r>
        <w:rPr>
          <w:lang w:val="en-US"/>
        </w:rPr>
        <w:t xml:space="preserve"> </w:t>
      </w:r>
      <w:r w:rsidRPr="003D30B5">
        <w:rPr>
          <w:lang w:val="en-US"/>
        </w:rPr>
        <w:t>orthogonal</w:t>
      </w:r>
      <w:r>
        <w:rPr>
          <w:lang w:val="en-US"/>
        </w:rPr>
        <w:t xml:space="preserve"> </w:t>
      </w:r>
      <w:r w:rsidRPr="003D30B5">
        <w:rPr>
          <w:lang w:val="en-US"/>
        </w:rPr>
        <w:t>DMRS ports for PDSCH/PUSCH larger than Rel.15</w:t>
      </w:r>
    </w:p>
    <w:p w14:paraId="052DA62F" w14:textId="77777777" w:rsidR="000C2FC1" w:rsidRPr="003D30B5" w:rsidRDefault="000C2FC1" w:rsidP="000C2FC1">
      <w:pPr>
        <w:pStyle w:val="ad"/>
        <w:numPr>
          <w:ilvl w:val="1"/>
          <w:numId w:val="30"/>
        </w:numPr>
        <w:overflowPunct w:val="0"/>
        <w:autoSpaceDE w:val="0"/>
        <w:autoSpaceDN w:val="0"/>
        <w:adjustRightInd w:val="0"/>
        <w:spacing w:afterLines="0" w:after="120"/>
        <w:ind w:leftChars="0"/>
        <w:contextualSpacing/>
        <w:textAlignment w:val="baseline"/>
        <w:rPr>
          <w:lang w:val="en-US"/>
        </w:rPr>
      </w:pPr>
      <w:r w:rsidRPr="003D30B5">
        <w:rPr>
          <w:lang w:val="en-US"/>
        </w:rPr>
        <w:t>Study whether/how to support DCI-based dynamic antenna ports indication of Rel.18 DMRS ports and/or Rel.15 DMRS ports.</w:t>
      </w:r>
    </w:p>
    <w:p w14:paraId="434D1A0A" w14:textId="77777777" w:rsidR="000C2FC1" w:rsidRPr="003D30B5" w:rsidRDefault="000C2FC1" w:rsidP="000C2FC1">
      <w:pPr>
        <w:pStyle w:val="ad"/>
        <w:numPr>
          <w:ilvl w:val="1"/>
          <w:numId w:val="30"/>
        </w:numPr>
        <w:overflowPunct w:val="0"/>
        <w:autoSpaceDE w:val="0"/>
        <w:autoSpaceDN w:val="0"/>
        <w:adjustRightInd w:val="0"/>
        <w:spacing w:afterLines="0" w:after="120"/>
        <w:ind w:leftChars="0"/>
        <w:contextualSpacing/>
        <w:textAlignment w:val="baseline"/>
        <w:rPr>
          <w:lang w:val="en-US"/>
        </w:rPr>
      </w:pPr>
      <w:r w:rsidRPr="003D30B5">
        <w:rPr>
          <w:lang w:val="en-US"/>
        </w:rPr>
        <w:t>Study whether/how to reuse the antenna port indication table in 38.212 as much as possible for both PDSCH and PUSCH</w:t>
      </w:r>
    </w:p>
    <w:p w14:paraId="7FECB79D" w14:textId="77777777" w:rsidR="000C2FC1" w:rsidRPr="003D30B5" w:rsidRDefault="000C2FC1" w:rsidP="000C2FC1">
      <w:pPr>
        <w:pStyle w:val="ad"/>
        <w:numPr>
          <w:ilvl w:val="1"/>
          <w:numId w:val="30"/>
        </w:numPr>
        <w:overflowPunct w:val="0"/>
        <w:autoSpaceDE w:val="0"/>
        <w:autoSpaceDN w:val="0"/>
        <w:adjustRightInd w:val="0"/>
        <w:spacing w:afterLines="0" w:after="120"/>
        <w:ind w:leftChars="0"/>
        <w:contextualSpacing/>
        <w:textAlignment w:val="baseline"/>
        <w:rPr>
          <w:lang w:val="en-US"/>
        </w:rPr>
      </w:pPr>
      <w:r w:rsidRPr="003D30B5">
        <w:rPr>
          <w:lang w:val="en-US"/>
        </w:rPr>
        <w:t>Study the potential need for MU scheduling restrictions in the design of the enhanced antenna port indication table in 38.212 for DL PDSCH.</w:t>
      </w:r>
    </w:p>
    <w:p w14:paraId="1B1DEA64" w14:textId="77777777" w:rsidR="00E20A1D" w:rsidRPr="00E20A1D" w:rsidRDefault="00E20A1D"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28899716" w:rsidR="000C2FC1" w:rsidRDefault="000C2FC1" w:rsidP="000737BB">
      <w:pPr>
        <w:spacing w:after="120"/>
        <w:jc w:val="both"/>
        <w:rPr>
          <w:bCs/>
          <w:lang w:val="x-none"/>
        </w:rPr>
      </w:pPr>
      <w:r>
        <w:rPr>
          <w:bCs/>
          <w:lang w:val="x-none"/>
        </w:rPr>
        <w:t>Based on the agreement in last meeting[1], we have 5 option</w:t>
      </w:r>
      <w:r w:rsidR="006B0D5E">
        <w:rPr>
          <w:bCs/>
          <w:lang w:val="x-none"/>
        </w:rPr>
        <w:t>s</w:t>
      </w:r>
      <w:r>
        <w:rPr>
          <w:bCs/>
          <w:lang w:val="x-none"/>
        </w:rPr>
        <w:t xml:space="preserve"> on increasing DMRS ports as follows</w:t>
      </w:r>
      <w:r w:rsidR="006B0D5E">
        <w:rPr>
          <w:bCs/>
          <w:lang w:val="x-none"/>
        </w:rPr>
        <w:t>:</w:t>
      </w:r>
    </w:p>
    <w:tbl>
      <w:tblPr>
        <w:tblStyle w:val="a4"/>
        <w:tblW w:w="0" w:type="auto"/>
        <w:tblLook w:val="04A0" w:firstRow="1" w:lastRow="0" w:firstColumn="1" w:lastColumn="0" w:noHBand="0" w:noVBand="1"/>
      </w:tblPr>
      <w:tblGrid>
        <w:gridCol w:w="9060"/>
      </w:tblGrid>
      <w:tr w:rsidR="000C2FC1" w14:paraId="4EBE60C5" w14:textId="77777777" w:rsidTr="000C2FC1">
        <w:tc>
          <w:tcPr>
            <w:tcW w:w="9060" w:type="dxa"/>
          </w:tcPr>
          <w:p w14:paraId="0BC2B947" w14:textId="77777777" w:rsidR="000C2FC1" w:rsidRPr="00E20A1D" w:rsidRDefault="000C2FC1" w:rsidP="000C2FC1">
            <w:pPr>
              <w:spacing w:after="120"/>
              <w:rPr>
                <w:lang w:eastAsia="en-GB"/>
              </w:rPr>
            </w:pPr>
            <w:r w:rsidRPr="00E20A1D">
              <w:rPr>
                <w:shd w:val="clear" w:color="auto" w:fill="00FF00"/>
              </w:rPr>
              <w:t>Agreement</w:t>
            </w:r>
          </w:p>
          <w:p w14:paraId="484A9E54" w14:textId="77777777" w:rsidR="000C2FC1" w:rsidRPr="00E20A1D" w:rsidRDefault="000C2FC1" w:rsidP="000C2FC1">
            <w:pPr>
              <w:pStyle w:val="ad"/>
              <w:numPr>
                <w:ilvl w:val="0"/>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To increase the number of DMRS ports for PDSCH/PUSCH, evaluate and, if needed, specify one or more from the following options:</w:t>
            </w:r>
          </w:p>
          <w:p w14:paraId="71A8C591" w14:textId="77777777" w:rsidR="000C2FC1" w:rsidRPr="00E20A1D" w:rsidRDefault="000C2FC1" w:rsidP="000C2FC1">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Opt.1 (enhance FD-OCC): Introduce larger FD-OCC length than Rel.15 (e.g. 4 or 6).</w:t>
            </w:r>
          </w:p>
          <w:p w14:paraId="72B04FB2" w14:textId="77777777" w:rsidR="000C2FC1" w:rsidRPr="00E20A1D" w:rsidRDefault="000C2FC1" w:rsidP="000C2FC1">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Study aspect includes potential performance degradation in large delay spread, potential scheduling restriction,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w:t>
            </w:r>
            <w:r w:rsidRPr="00E20A1D">
              <w:rPr>
                <w:rFonts w:ascii="Times New Roman" w:hAnsi="Times New Roman"/>
                <w:shd w:val="clear" w:color="auto" w:fill="FFFFFF"/>
                <w:lang w:val="en-US"/>
              </w:rPr>
              <w:t>.</w:t>
            </w:r>
          </w:p>
          <w:p w14:paraId="70EE61F6" w14:textId="77777777" w:rsidR="000C2FC1" w:rsidRPr="00E20A1D" w:rsidRDefault="000C2FC1" w:rsidP="000C2FC1">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Opt.2 (enhance TD-OCC): Utilize TD-OCC over non-contiguous DMRS symbols (e.g. TD-OCC across front/additional DMRS symbols)</w:t>
            </w:r>
          </w:p>
          <w:p w14:paraId="043115C7" w14:textId="77777777" w:rsidR="000C2FC1" w:rsidRPr="00E20A1D" w:rsidRDefault="000C2FC1" w:rsidP="000C2FC1">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w:t>
            </w:r>
            <w:r w:rsidRPr="00E20A1D">
              <w:rPr>
                <w:rFonts w:ascii="Times New Roman" w:hAnsi="Times New Roman"/>
                <w:shd w:val="clear" w:color="auto" w:fill="FFFFFF"/>
                <w:lang w:val="en-US"/>
              </w:rPr>
              <w:t>.</w:t>
            </w:r>
          </w:p>
          <w:p w14:paraId="6A1D2D0F" w14:textId="77777777" w:rsidR="000C2FC1" w:rsidRPr="00E20A1D" w:rsidRDefault="000C2FC1" w:rsidP="000C2FC1">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lastRenderedPageBreak/>
              <w:t>Opt.3 (Sparser frequency allocation): increase the number of CDM groups (e.g. larger number of comb/FDM).</w:t>
            </w:r>
          </w:p>
          <w:p w14:paraId="7C569A5F" w14:textId="77777777" w:rsidR="000C2FC1" w:rsidRPr="00E20A1D" w:rsidRDefault="000C2FC1" w:rsidP="000C2FC1">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Study aspect includes potential performance degradation in large delay spread, backward compatibility</w:t>
            </w:r>
            <w:r w:rsidRPr="00E20A1D">
              <w:rPr>
                <w:rFonts w:ascii="Times New Roman" w:hAnsi="Times New Roman"/>
                <w:shd w:val="clear" w:color="auto" w:fill="FFFFFF"/>
                <w:lang w:val="en-US"/>
              </w:rPr>
              <w:t>.</w:t>
            </w:r>
          </w:p>
          <w:p w14:paraId="216D2D5E" w14:textId="77777777" w:rsidR="000C2FC1" w:rsidRPr="00E20A1D" w:rsidRDefault="000C2FC1" w:rsidP="000C2FC1">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Opt.4 (using </w:t>
            </w:r>
            <w:proofErr w:type="spellStart"/>
            <w:r w:rsidRPr="00E20A1D">
              <w:rPr>
                <w:rFonts w:ascii="Times New Roman" w:eastAsia="Times New Roman" w:hAnsi="Times New Roman"/>
                <w:shd w:val="clear" w:color="auto" w:fill="FFFFFF"/>
                <w:lang w:val="en-US"/>
              </w:rPr>
              <w:t>TDMed</w:t>
            </w:r>
            <w:proofErr w:type="spellEnd"/>
            <w:r w:rsidRPr="00E20A1D">
              <w:rPr>
                <w:rFonts w:ascii="Times New Roman" w:eastAsia="Times New Roman" w:hAnsi="Times New Roman"/>
                <w:shd w:val="clear" w:color="auto" w:fill="FFFFFF"/>
                <w:lang w:val="en-US"/>
              </w:rPr>
              <w:t xml:space="preserve"> DMRS symbol): reusing additional DMRS symbols to increase orthogonal DMRS ports</w:t>
            </w:r>
          </w:p>
          <w:p w14:paraId="7472368D" w14:textId="77777777" w:rsidR="000C2FC1" w:rsidRPr="00E20A1D" w:rsidRDefault="000C2FC1" w:rsidP="000C2FC1">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Study aspect includes potential performance degradation in high UE velocity, potential DMRS configuration restriction (e.g. restriction of the number of additional DMRS),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 </w:t>
            </w:r>
          </w:p>
          <w:p w14:paraId="5CA3C365" w14:textId="77777777" w:rsidR="000C2FC1" w:rsidRPr="00E20A1D" w:rsidRDefault="000C2FC1" w:rsidP="000C2FC1">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Opt.5 TD-OCC over non-contiguous DMRS symbols combined with FD-OCC or FDM: reusing additional DMRS symbol(s) to improve channel estimation performance.</w:t>
            </w:r>
          </w:p>
          <w:p w14:paraId="118BE36B" w14:textId="77777777" w:rsidR="000C2FC1" w:rsidRPr="00E20A1D" w:rsidRDefault="000C2FC1" w:rsidP="000C2FC1">
            <w:pPr>
              <w:pStyle w:val="ad"/>
              <w:numPr>
                <w:ilvl w:val="2"/>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E20A1D">
              <w:rPr>
                <w:rFonts w:ascii="Times New Roman" w:eastAsia="Times New Roman" w:hAnsi="Times New Roman"/>
                <w:shd w:val="clear" w:color="auto" w:fill="FFFFFF"/>
                <w:lang w:val="en-US"/>
              </w:rPr>
              <w:t>backward</w:t>
            </w:r>
            <w:proofErr w:type="gramEnd"/>
            <w:r w:rsidRPr="00E20A1D">
              <w:rPr>
                <w:rFonts w:ascii="Times New Roman" w:eastAsia="Times New Roman" w:hAnsi="Times New Roman"/>
                <w:shd w:val="clear" w:color="auto" w:fill="FFFFFF"/>
                <w:lang w:val="en-US"/>
              </w:rPr>
              <w:t xml:space="preserve"> compatibility.</w:t>
            </w:r>
          </w:p>
          <w:p w14:paraId="44821DCF" w14:textId="25AAB343" w:rsidR="000C2FC1" w:rsidRPr="000C2FC1" w:rsidRDefault="000C2FC1" w:rsidP="000C2FC1">
            <w:pPr>
              <w:pStyle w:val="ad"/>
              <w:numPr>
                <w:ilvl w:val="1"/>
                <w:numId w:val="29"/>
              </w:numPr>
              <w:overflowPunct w:val="0"/>
              <w:autoSpaceDE w:val="0"/>
              <w:autoSpaceDN w:val="0"/>
              <w:adjustRightInd w:val="0"/>
              <w:spacing w:afterLines="0" w:after="120"/>
              <w:ind w:leftChars="0"/>
              <w:contextualSpacing/>
              <w:textAlignment w:val="baseline"/>
              <w:rPr>
                <w:rFonts w:ascii="Times New Roman" w:eastAsia="Times New Roman" w:hAnsi="Times New Roman"/>
                <w:lang w:val="en-US"/>
              </w:rPr>
            </w:pPr>
            <w:r w:rsidRPr="00E20A1D">
              <w:rPr>
                <w:rFonts w:ascii="Times New Roman" w:eastAsia="Times New Roman" w:hAnsi="Times New Roman"/>
                <w:shd w:val="clear" w:color="auto" w:fill="FFFFFF"/>
                <w:lang w:val="en-US"/>
              </w:rPr>
              <w:t>The same option can be applied to both single symbol DMRS and double symbol DMRS.</w:t>
            </w:r>
          </w:p>
        </w:tc>
      </w:tr>
    </w:tbl>
    <w:p w14:paraId="77693713" w14:textId="77777777" w:rsidR="000C2FC1" w:rsidRDefault="000C2FC1" w:rsidP="000737BB">
      <w:pPr>
        <w:spacing w:after="120"/>
        <w:jc w:val="both"/>
        <w:rPr>
          <w:bCs/>
          <w:lang w:val="x-none"/>
        </w:rPr>
      </w:pPr>
    </w:p>
    <w:p w14:paraId="5B074101" w14:textId="1317423D" w:rsidR="00A52879" w:rsidRDefault="00A52879" w:rsidP="000737BB">
      <w:pPr>
        <w:spacing w:after="120"/>
        <w:jc w:val="both"/>
        <w:rPr>
          <w:bCs/>
          <w:lang w:val="x-none"/>
        </w:rPr>
      </w:pPr>
      <w:r>
        <w:rPr>
          <w:bCs/>
          <w:lang w:val="x-none"/>
        </w:rPr>
        <w:t>For Option 1 and Option 3 as shown in Figure 1 and Figure 2, these two options methods are simple method to support increasing antenna ports.</w:t>
      </w:r>
    </w:p>
    <w:p w14:paraId="787E3C21" w14:textId="637F4F96" w:rsidR="00A52879" w:rsidRDefault="00A52879" w:rsidP="000737BB">
      <w:pPr>
        <w:spacing w:after="120"/>
        <w:jc w:val="both"/>
        <w:rPr>
          <w:rFonts w:eastAsiaTheme="minorEastAsia"/>
          <w:lang w:eastAsia="ja-JP"/>
        </w:rPr>
      </w:pPr>
      <w:r>
        <w:rPr>
          <w:bCs/>
          <w:lang w:val="x-none"/>
        </w:rPr>
        <w:t xml:space="preserve">For Option 2&amp;Option 5, </w:t>
      </w:r>
      <w:proofErr w:type="spellStart"/>
      <w:r>
        <w:rPr>
          <w:rFonts w:eastAsiaTheme="minorEastAsia"/>
          <w:lang w:eastAsia="ja-JP"/>
        </w:rPr>
        <w:t>gNB</w:t>
      </w:r>
      <w:proofErr w:type="spellEnd"/>
      <w:r>
        <w:rPr>
          <w:rFonts w:eastAsiaTheme="minorEastAsia"/>
          <w:lang w:eastAsia="ja-JP"/>
        </w:rPr>
        <w:t xml:space="preserve"> scheduling restriction of frequency hopping and additional DMRS symbol can be introduced</w:t>
      </w:r>
      <w:r w:rsidR="006B0D5E">
        <w:rPr>
          <w:rFonts w:eastAsiaTheme="minorEastAsia"/>
          <w:lang w:eastAsia="ja-JP"/>
        </w:rPr>
        <w:t>.</w:t>
      </w:r>
    </w:p>
    <w:p w14:paraId="68393938" w14:textId="5000B83E" w:rsidR="00A52879" w:rsidRDefault="00A52879" w:rsidP="000737BB">
      <w:pPr>
        <w:spacing w:after="120"/>
        <w:jc w:val="both"/>
        <w:rPr>
          <w:shd w:val="clear" w:color="auto" w:fill="FFFFFF"/>
        </w:rPr>
      </w:pPr>
      <w:r>
        <w:rPr>
          <w:bCs/>
          <w:lang w:val="x-none"/>
        </w:rPr>
        <w:t>For Option 4</w:t>
      </w:r>
      <w:r w:rsidRPr="00A52879">
        <w:rPr>
          <w:bCs/>
          <w:lang w:val="x-none"/>
        </w:rPr>
        <w:t xml:space="preserve"> </w:t>
      </w:r>
      <w:r>
        <w:rPr>
          <w:bCs/>
          <w:lang w:val="x-none"/>
        </w:rPr>
        <w:t xml:space="preserve">shown in Figure 1 and Figure 2, for supporting </w:t>
      </w:r>
      <w:r w:rsidRPr="00E20A1D">
        <w:rPr>
          <w:shd w:val="clear" w:color="auto" w:fill="FFFFFF"/>
        </w:rPr>
        <w:t>high UE velocity</w:t>
      </w:r>
      <w:r>
        <w:rPr>
          <w:shd w:val="clear" w:color="auto" w:fill="FFFFFF"/>
        </w:rPr>
        <w:t>, Option 4 need be considered.</w:t>
      </w:r>
    </w:p>
    <w:p w14:paraId="6005EDA2" w14:textId="503E64D2" w:rsidR="006B0D5E" w:rsidRPr="006B0D5E" w:rsidRDefault="006B0D5E" w:rsidP="000737BB">
      <w:pPr>
        <w:spacing w:after="120"/>
        <w:jc w:val="both"/>
        <w:rPr>
          <w:lang w:eastAsia="zh-CN"/>
        </w:rPr>
      </w:pPr>
      <w:r>
        <w:rPr>
          <w:lang w:eastAsia="zh-CN"/>
        </w:rPr>
        <w:t xml:space="preserve">Therefore, in order to reduce the work load of RAN1, option 1 and 3 can be supported with high priority. Considering </w:t>
      </w:r>
      <w:r w:rsidRPr="00E20A1D">
        <w:rPr>
          <w:shd w:val="clear" w:color="auto" w:fill="FFFFFF"/>
        </w:rPr>
        <w:t>high UE velocity</w:t>
      </w:r>
      <w:r>
        <w:rPr>
          <w:shd w:val="clear" w:color="auto" w:fill="FFFFFF"/>
        </w:rPr>
        <w:t xml:space="preserve"> case, option 4 should be considered</w:t>
      </w:r>
      <w:r>
        <w:rPr>
          <w:lang w:eastAsia="zh-CN"/>
        </w:rPr>
        <w:t>.</w:t>
      </w:r>
    </w:p>
    <w:p w14:paraId="1DD9375C" w14:textId="7A360C5F" w:rsidR="000C2FC1" w:rsidRDefault="000C2FC1" w:rsidP="00E20A1D">
      <w:pPr>
        <w:spacing w:afterLines="0" w:after="0"/>
        <w:jc w:val="both"/>
        <w:rPr>
          <w:rFonts w:eastAsiaTheme="minorEastAsia"/>
          <w:bCs/>
          <w:lang w:eastAsia="zh-CN"/>
        </w:rPr>
      </w:pPr>
      <w:r>
        <w:rPr>
          <w:noProof/>
          <w:lang w:eastAsia="zh-CN"/>
        </w:rPr>
        <w:drawing>
          <wp:inline distT="0" distB="0" distL="0" distR="0" wp14:anchorId="06858C0E" wp14:editId="4C5AAC28">
            <wp:extent cx="5240216" cy="24837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3625" cy="2494855"/>
                    </a:xfrm>
                    <a:prstGeom prst="rect">
                      <a:avLst/>
                    </a:prstGeom>
                  </pic:spPr>
                </pic:pic>
              </a:graphicData>
            </a:graphic>
          </wp:inline>
        </w:drawing>
      </w:r>
    </w:p>
    <w:p w14:paraId="4D8B67C7" w14:textId="5A6FCD12" w:rsidR="000C2FC1" w:rsidRPr="00E20A1D" w:rsidRDefault="000C2FC1" w:rsidP="000C2FC1">
      <w:pPr>
        <w:spacing w:afterLines="0" w:after="0"/>
        <w:jc w:val="center"/>
        <w:rPr>
          <w:rFonts w:eastAsiaTheme="minorEastAsia"/>
          <w:bCs/>
          <w:lang w:eastAsia="zh-CN"/>
        </w:rPr>
      </w:pPr>
      <w:r w:rsidRPr="00E20A1D">
        <w:rPr>
          <w:rFonts w:eastAsiaTheme="minorEastAsia" w:hint="eastAsia"/>
          <w:bCs/>
          <w:lang w:eastAsia="zh-CN"/>
        </w:rPr>
        <w:t>F</w:t>
      </w:r>
      <w:r w:rsidRPr="00E20A1D">
        <w:rPr>
          <w:rFonts w:eastAsiaTheme="minorEastAsia"/>
          <w:bCs/>
          <w:lang w:eastAsia="zh-CN"/>
        </w:rPr>
        <w:t>ig.1.</w:t>
      </w:r>
      <w:r>
        <w:rPr>
          <w:rFonts w:eastAsiaTheme="minorEastAsia"/>
          <w:bCs/>
          <w:lang w:eastAsia="zh-CN"/>
        </w:rPr>
        <w:t xml:space="preserve"> Example of Option 1 (enhanced FD-OCC)</w:t>
      </w:r>
    </w:p>
    <w:p w14:paraId="4440C52E" w14:textId="77777777" w:rsidR="00E20A1D" w:rsidRPr="00E20A1D" w:rsidRDefault="00E20A1D" w:rsidP="000C2FC1">
      <w:pPr>
        <w:pStyle w:val="ad"/>
        <w:spacing w:after="120"/>
        <w:ind w:leftChars="0" w:left="886"/>
        <w:jc w:val="center"/>
        <w:rPr>
          <w:bCs/>
        </w:rPr>
      </w:pPr>
      <w:r>
        <w:rPr>
          <w:noProof/>
          <w:lang w:val="en-US" w:eastAsia="zh-CN"/>
        </w:rPr>
        <w:lastRenderedPageBreak/>
        <w:drawing>
          <wp:inline distT="0" distB="0" distL="0" distR="0" wp14:anchorId="6638E2B7" wp14:editId="2F5E7CF2">
            <wp:extent cx="3283565" cy="26165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5182" cy="2625848"/>
                    </a:xfrm>
                    <a:prstGeom prst="rect">
                      <a:avLst/>
                    </a:prstGeom>
                  </pic:spPr>
                </pic:pic>
              </a:graphicData>
            </a:graphic>
          </wp:inline>
        </w:drawing>
      </w:r>
    </w:p>
    <w:p w14:paraId="403883A4" w14:textId="4F4825A6" w:rsidR="00E20A1D" w:rsidRPr="000C2FC1" w:rsidRDefault="00E20A1D" w:rsidP="000C2FC1">
      <w:pPr>
        <w:spacing w:after="120"/>
        <w:ind w:left="466"/>
        <w:rPr>
          <w:b/>
        </w:rPr>
      </w:pPr>
    </w:p>
    <w:p w14:paraId="531EF8BA" w14:textId="499192EF" w:rsidR="00E20A1D" w:rsidRPr="00E20A1D" w:rsidRDefault="00E20A1D" w:rsidP="00E20A1D">
      <w:pPr>
        <w:pStyle w:val="ad"/>
        <w:numPr>
          <w:ilvl w:val="0"/>
          <w:numId w:val="18"/>
        </w:numPr>
        <w:spacing w:after="120"/>
        <w:ind w:leftChars="0"/>
        <w:jc w:val="center"/>
        <w:rPr>
          <w:rFonts w:eastAsiaTheme="minorEastAsia"/>
          <w:bCs/>
          <w:lang w:eastAsia="zh-CN"/>
        </w:rPr>
      </w:pPr>
      <w:r w:rsidRPr="00E20A1D">
        <w:rPr>
          <w:rFonts w:eastAsiaTheme="minorEastAsia" w:hint="eastAsia"/>
          <w:bCs/>
          <w:lang w:eastAsia="zh-CN"/>
        </w:rPr>
        <w:t>F</w:t>
      </w:r>
      <w:r w:rsidR="000C2FC1">
        <w:rPr>
          <w:rFonts w:eastAsiaTheme="minorEastAsia"/>
          <w:bCs/>
          <w:lang w:eastAsia="zh-CN"/>
        </w:rPr>
        <w:t>ig.2. Example of Option 3 (</w:t>
      </w:r>
      <w:r w:rsidR="000C2FC1" w:rsidRPr="00E20A1D">
        <w:rPr>
          <w:rFonts w:ascii="Times New Roman" w:eastAsia="Times New Roman" w:hAnsi="Times New Roman"/>
          <w:shd w:val="clear" w:color="auto" w:fill="FFFFFF"/>
          <w:lang w:val="en-US"/>
        </w:rPr>
        <w:t>Sparser frequency allocation</w:t>
      </w:r>
      <w:r w:rsidR="000C2FC1">
        <w:rPr>
          <w:rFonts w:eastAsiaTheme="minorEastAsia"/>
          <w:bCs/>
          <w:lang w:eastAsia="zh-CN"/>
        </w:rPr>
        <w:t>)</w:t>
      </w:r>
    </w:p>
    <w:p w14:paraId="29D0133A" w14:textId="77777777" w:rsidR="00E20A1D" w:rsidRDefault="00E20A1D" w:rsidP="003420DC">
      <w:pPr>
        <w:spacing w:after="120"/>
        <w:jc w:val="both"/>
        <w:rPr>
          <w:rFonts w:eastAsiaTheme="minorEastAsia"/>
          <w:bCs/>
          <w:lang w:eastAsia="zh-CN"/>
        </w:rPr>
      </w:pPr>
    </w:p>
    <w:p w14:paraId="4BCDFBE8" w14:textId="73F67F2A" w:rsidR="006336C9" w:rsidRPr="006B0D5E" w:rsidRDefault="00EE237A" w:rsidP="003420DC">
      <w:pPr>
        <w:spacing w:after="120"/>
        <w:jc w:val="both"/>
        <w:rPr>
          <w:rFonts w:eastAsiaTheme="minorEastAsia"/>
          <w:b/>
          <w:lang w:eastAsia="zh-CN"/>
        </w:rPr>
      </w:pPr>
      <w:r w:rsidRPr="006B0D5E">
        <w:rPr>
          <w:b/>
        </w:rPr>
        <w:t xml:space="preserve">Proposal </w:t>
      </w:r>
      <w:r w:rsidR="003420DC" w:rsidRPr="006B0D5E">
        <w:rPr>
          <w:b/>
        </w:rPr>
        <w:t>1</w:t>
      </w:r>
      <w:r w:rsidRPr="006B0D5E">
        <w:rPr>
          <w:b/>
        </w:rPr>
        <w:t xml:space="preserve">: </w:t>
      </w:r>
      <w:r w:rsidR="00AE713E" w:rsidRPr="006B0D5E">
        <w:rPr>
          <w:rFonts w:eastAsiaTheme="minorEastAsia"/>
          <w:b/>
          <w:lang w:eastAsia="zh-CN"/>
        </w:rPr>
        <w:t>For</w:t>
      </w:r>
      <w:r w:rsidR="006B0D5E" w:rsidRPr="006B0D5E">
        <w:rPr>
          <w:rFonts w:eastAsiaTheme="minorEastAsia"/>
          <w:b/>
          <w:lang w:eastAsia="zh-CN"/>
        </w:rPr>
        <w:t xml:space="preserve"> R18</w:t>
      </w:r>
      <w:r w:rsidR="00AE713E" w:rsidRPr="006B0D5E">
        <w:rPr>
          <w:rFonts w:eastAsiaTheme="minorEastAsia"/>
          <w:b/>
          <w:lang w:eastAsia="zh-CN"/>
        </w:rPr>
        <w:t xml:space="preserve"> </w:t>
      </w:r>
      <w:r w:rsidR="00A52879" w:rsidRPr="006B0D5E">
        <w:rPr>
          <w:rFonts w:eastAsiaTheme="minorEastAsia"/>
          <w:b/>
          <w:lang w:eastAsia="zh-CN"/>
        </w:rPr>
        <w:t>increasing</w:t>
      </w:r>
      <w:r w:rsidR="006B0D5E" w:rsidRPr="006B0D5E">
        <w:rPr>
          <w:rFonts w:eastAsiaTheme="minorEastAsia"/>
          <w:b/>
          <w:lang w:eastAsia="zh-CN"/>
        </w:rPr>
        <w:t xml:space="preserve"> antenna ports</w:t>
      </w:r>
      <w:r w:rsidR="00AE713E" w:rsidRPr="006B0D5E">
        <w:rPr>
          <w:rFonts w:eastAsiaTheme="minorEastAsia"/>
          <w:b/>
          <w:lang w:eastAsia="zh-CN"/>
        </w:rPr>
        <w:t>,</w:t>
      </w:r>
      <w:r w:rsidR="006B0D5E" w:rsidRPr="006B0D5E">
        <w:rPr>
          <w:rFonts w:eastAsiaTheme="minorEastAsia"/>
          <w:b/>
          <w:lang w:eastAsia="zh-CN"/>
        </w:rPr>
        <w:t xml:space="preserve"> Option 1 </w:t>
      </w:r>
      <w:r w:rsidR="006B0D5E" w:rsidRPr="006B0D5E">
        <w:rPr>
          <w:rFonts w:eastAsiaTheme="minorEastAsia"/>
          <w:b/>
          <w:bCs/>
          <w:lang w:eastAsia="zh-CN"/>
        </w:rPr>
        <w:t xml:space="preserve">(enhanced FD-OCC) </w:t>
      </w:r>
      <w:r w:rsidR="006B0D5E" w:rsidRPr="006B0D5E">
        <w:rPr>
          <w:rFonts w:eastAsiaTheme="minorEastAsia"/>
          <w:b/>
          <w:lang w:eastAsia="zh-CN"/>
        </w:rPr>
        <w:t>and Option 3</w:t>
      </w:r>
      <w:r w:rsidR="002D6CC5" w:rsidRPr="006B0D5E">
        <w:rPr>
          <w:rFonts w:eastAsiaTheme="minorEastAsia"/>
          <w:b/>
          <w:lang w:eastAsia="zh-CN"/>
        </w:rPr>
        <w:t>.</w:t>
      </w:r>
      <w:r w:rsidR="00A5717B" w:rsidRPr="006B0D5E">
        <w:rPr>
          <w:rFonts w:eastAsiaTheme="minorEastAsia"/>
          <w:b/>
          <w:lang w:eastAsia="zh-CN"/>
        </w:rPr>
        <w:t xml:space="preserve"> </w:t>
      </w:r>
      <w:r w:rsidR="006B0D5E" w:rsidRPr="006B0D5E">
        <w:rPr>
          <w:rFonts w:eastAsiaTheme="minorEastAsia"/>
          <w:b/>
          <w:bCs/>
          <w:lang w:eastAsia="zh-CN"/>
        </w:rPr>
        <w:t>(</w:t>
      </w:r>
      <w:r w:rsidR="006B0D5E" w:rsidRPr="006B0D5E">
        <w:rPr>
          <w:b/>
          <w:shd w:val="clear" w:color="auto" w:fill="FFFFFF"/>
        </w:rPr>
        <w:t>Sparser frequency allocation</w:t>
      </w:r>
      <w:r w:rsidR="006B0D5E" w:rsidRPr="006B0D5E">
        <w:rPr>
          <w:rFonts w:eastAsiaTheme="minorEastAsia"/>
          <w:b/>
          <w:bCs/>
          <w:lang w:eastAsia="zh-CN"/>
        </w:rPr>
        <w:t>) should be considered as baseline.</w:t>
      </w:r>
    </w:p>
    <w:p w14:paraId="1B06B233" w14:textId="0CF8D9D6" w:rsidR="006B0D5E" w:rsidRPr="006B0D5E" w:rsidRDefault="006336C9" w:rsidP="006B0D5E">
      <w:pPr>
        <w:spacing w:after="120"/>
        <w:jc w:val="both"/>
        <w:rPr>
          <w:b/>
          <w:lang w:eastAsia="zh-CN"/>
        </w:rPr>
      </w:pPr>
      <w:r w:rsidRPr="006B0D5E">
        <w:rPr>
          <w:b/>
        </w:rPr>
        <w:t xml:space="preserve">Proposal 2: </w:t>
      </w:r>
      <w:r w:rsidR="006B0D5E" w:rsidRPr="006B0D5E">
        <w:rPr>
          <w:b/>
          <w:lang w:eastAsia="zh-CN"/>
        </w:rPr>
        <w:t xml:space="preserve">Considering the case of </w:t>
      </w:r>
      <w:r w:rsidR="006B0D5E" w:rsidRPr="006B0D5E">
        <w:rPr>
          <w:b/>
          <w:shd w:val="clear" w:color="auto" w:fill="FFFFFF"/>
        </w:rPr>
        <w:t>high UE velocity, option 4 should be supported</w:t>
      </w:r>
      <w:r w:rsidR="006B0D5E" w:rsidRPr="006B0D5E">
        <w:rPr>
          <w:b/>
          <w:lang w:eastAsia="zh-CN"/>
        </w:rPr>
        <w:t>.</w:t>
      </w:r>
    </w:p>
    <w:p w14:paraId="6278A872" w14:textId="3AD1BB2E" w:rsidR="00A2132E" w:rsidRPr="00325065" w:rsidRDefault="00A2132E" w:rsidP="00325065">
      <w:pPr>
        <w:spacing w:after="120"/>
        <w:jc w:val="both"/>
        <w:rPr>
          <w:rFonts w:eastAsiaTheme="minorEastAsia"/>
          <w:kern w:val="2"/>
          <w:lang w:eastAsia="zh-CN"/>
        </w:rPr>
      </w:pP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6909BE72" w14:textId="77777777" w:rsidR="006B0D5E" w:rsidRPr="006B0D5E" w:rsidRDefault="006B0D5E" w:rsidP="006B0D5E">
      <w:pPr>
        <w:spacing w:after="120"/>
        <w:jc w:val="both"/>
        <w:rPr>
          <w:rFonts w:eastAsiaTheme="minorEastAsia"/>
          <w:b/>
          <w:lang w:eastAsia="zh-CN"/>
        </w:rPr>
      </w:pPr>
      <w:r w:rsidRPr="006B0D5E">
        <w:rPr>
          <w:b/>
        </w:rPr>
        <w:t xml:space="preserve">Proposal 1: </w:t>
      </w:r>
      <w:r w:rsidRPr="006B0D5E">
        <w:rPr>
          <w:rFonts w:eastAsiaTheme="minorEastAsia"/>
          <w:b/>
          <w:lang w:eastAsia="zh-CN"/>
        </w:rPr>
        <w:t xml:space="preserve">For R18 increasing antenna ports, Option 1 </w:t>
      </w:r>
      <w:r w:rsidRPr="006B0D5E">
        <w:rPr>
          <w:rFonts w:eastAsiaTheme="minorEastAsia"/>
          <w:b/>
          <w:bCs/>
          <w:lang w:eastAsia="zh-CN"/>
        </w:rPr>
        <w:t xml:space="preserve">(enhanced FD-OCC) </w:t>
      </w:r>
      <w:r w:rsidRPr="006B0D5E">
        <w:rPr>
          <w:rFonts w:eastAsiaTheme="minorEastAsia"/>
          <w:b/>
          <w:lang w:eastAsia="zh-CN"/>
        </w:rPr>
        <w:t xml:space="preserve">and Option 3. </w:t>
      </w:r>
      <w:r w:rsidRPr="006B0D5E">
        <w:rPr>
          <w:rFonts w:eastAsiaTheme="minorEastAsia"/>
          <w:b/>
          <w:bCs/>
          <w:lang w:eastAsia="zh-CN"/>
        </w:rPr>
        <w:t>(</w:t>
      </w:r>
      <w:r w:rsidRPr="006B0D5E">
        <w:rPr>
          <w:b/>
          <w:shd w:val="clear" w:color="auto" w:fill="FFFFFF"/>
        </w:rPr>
        <w:t>Sparser frequency allocation</w:t>
      </w:r>
      <w:r w:rsidRPr="006B0D5E">
        <w:rPr>
          <w:rFonts w:eastAsiaTheme="minorEastAsia"/>
          <w:b/>
          <w:bCs/>
          <w:lang w:eastAsia="zh-CN"/>
        </w:rPr>
        <w:t>) should be considered as baseline.</w:t>
      </w:r>
    </w:p>
    <w:p w14:paraId="620EB384" w14:textId="53FA7DA9" w:rsidR="006B0D5E" w:rsidRPr="006B0D5E" w:rsidRDefault="006B0D5E" w:rsidP="006B0D5E">
      <w:pPr>
        <w:spacing w:after="120"/>
        <w:jc w:val="both"/>
        <w:rPr>
          <w:b/>
          <w:lang w:eastAsia="zh-CN"/>
        </w:rPr>
      </w:pPr>
      <w:r w:rsidRPr="006B0D5E">
        <w:rPr>
          <w:b/>
        </w:rPr>
        <w:t xml:space="preserve">Proposal 2: </w:t>
      </w:r>
      <w:r w:rsidRPr="006B0D5E">
        <w:rPr>
          <w:b/>
          <w:lang w:eastAsia="zh-CN"/>
        </w:rPr>
        <w:t xml:space="preserve">Considering the case of </w:t>
      </w:r>
      <w:r w:rsidRPr="006B0D5E">
        <w:rPr>
          <w:b/>
          <w:shd w:val="clear" w:color="auto" w:fill="FFFFFF"/>
        </w:rPr>
        <w:t>high UE velocity, option 4 should be supported</w:t>
      </w:r>
      <w:r w:rsidRPr="006B0D5E">
        <w:rPr>
          <w:b/>
          <w:lang w:eastAsia="zh-CN"/>
        </w:rPr>
        <w:t>.</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14BDB9B9" w:rsidR="00890372" w:rsidRPr="00890372" w:rsidRDefault="00890372" w:rsidP="00890372">
      <w:pPr>
        <w:pStyle w:val="ad"/>
        <w:numPr>
          <w:ilvl w:val="0"/>
          <w:numId w:val="4"/>
        </w:numPr>
        <w:spacing w:after="120"/>
        <w:ind w:leftChars="0"/>
        <w:rPr>
          <w:rFonts w:ascii="Times New Roman" w:eastAsia="宋体" w:hAnsi="Times New Roman"/>
          <w:szCs w:val="20"/>
        </w:rPr>
      </w:pPr>
      <w:r w:rsidRPr="00890372">
        <w:rPr>
          <w:rFonts w:ascii="Times New Roman" w:eastAsia="宋体" w:hAnsi="Times New Roman"/>
          <w:szCs w:val="20"/>
        </w:rPr>
        <w:t>Chairman’s Notes, RAN1#109-e, final, May 9th – 20th, 2022</w:t>
      </w:r>
    </w:p>
    <w:sectPr w:rsidR="00890372" w:rsidRPr="00890372"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A5769" w14:textId="77777777" w:rsidR="002A2788" w:rsidRDefault="002A2788" w:rsidP="00D4417E">
      <w:pPr>
        <w:spacing w:after="120"/>
        <w:ind w:left="-2"/>
      </w:pPr>
      <w:r>
        <w:separator/>
      </w:r>
    </w:p>
  </w:endnote>
  <w:endnote w:type="continuationSeparator" w:id="0">
    <w:p w14:paraId="738DA5DD" w14:textId="77777777" w:rsidR="002A2788" w:rsidRDefault="002A2788" w:rsidP="00D4417E">
      <w:pPr>
        <w:spacing w:after="120"/>
        <w:ind w:left="-2"/>
      </w:pPr>
      <w:r>
        <w:continuationSeparator/>
      </w:r>
    </w:p>
  </w:endnote>
  <w:endnote w:type="continuationNotice" w:id="1">
    <w:p w14:paraId="38A17F82" w14:textId="77777777" w:rsidR="002A2788" w:rsidRDefault="002A278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C7AE8" w14:textId="77777777" w:rsidR="002A2788" w:rsidRDefault="002A2788" w:rsidP="00D4417E">
      <w:pPr>
        <w:spacing w:after="120"/>
        <w:ind w:left="-2"/>
      </w:pPr>
      <w:r>
        <w:separator/>
      </w:r>
    </w:p>
  </w:footnote>
  <w:footnote w:type="continuationSeparator" w:id="0">
    <w:p w14:paraId="6DFC7A71" w14:textId="77777777" w:rsidR="002A2788" w:rsidRDefault="002A2788" w:rsidP="00D4417E">
      <w:pPr>
        <w:spacing w:after="120"/>
        <w:ind w:left="-2"/>
      </w:pPr>
      <w:r>
        <w:continuationSeparator/>
      </w:r>
    </w:p>
  </w:footnote>
  <w:footnote w:type="continuationNotice" w:id="1">
    <w:p w14:paraId="2DF1EA09" w14:textId="77777777" w:rsidR="002A2788" w:rsidRDefault="002A278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1574E8"/>
    <w:multiLevelType w:val="hybridMultilevel"/>
    <w:tmpl w:val="5E10EC84"/>
    <w:lvl w:ilvl="0" w:tplc="C82E104A">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5">
    <w:nsid w:val="13BE18B0"/>
    <w:multiLevelType w:val="hybridMultilevel"/>
    <w:tmpl w:val="7BF04D50"/>
    <w:lvl w:ilvl="0" w:tplc="562AEAFC">
      <w:start w:val="1"/>
      <w:numFmt w:val="bullet"/>
      <w:lvlText w:val=""/>
      <w:lvlJc w:val="left"/>
      <w:pPr>
        <w:tabs>
          <w:tab w:val="num" w:pos="720"/>
        </w:tabs>
        <w:ind w:left="720" w:hanging="360"/>
      </w:pPr>
      <w:rPr>
        <w:rFonts w:ascii="Wingdings" w:hAnsi="Wingdings" w:hint="default"/>
      </w:rPr>
    </w:lvl>
    <w:lvl w:ilvl="1" w:tplc="7C928CFE">
      <w:start w:val="1"/>
      <w:numFmt w:val="bullet"/>
      <w:lvlText w:val=""/>
      <w:lvlJc w:val="left"/>
      <w:pPr>
        <w:tabs>
          <w:tab w:val="num" w:pos="1440"/>
        </w:tabs>
        <w:ind w:left="1440" w:hanging="360"/>
      </w:pPr>
      <w:rPr>
        <w:rFonts w:ascii="Wingdings" w:hAnsi="Wingdings" w:hint="default"/>
      </w:rPr>
    </w:lvl>
    <w:lvl w:ilvl="2" w:tplc="50F43AD0" w:tentative="1">
      <w:start w:val="1"/>
      <w:numFmt w:val="bullet"/>
      <w:lvlText w:val=""/>
      <w:lvlJc w:val="left"/>
      <w:pPr>
        <w:tabs>
          <w:tab w:val="num" w:pos="2160"/>
        </w:tabs>
        <w:ind w:left="2160" w:hanging="360"/>
      </w:pPr>
      <w:rPr>
        <w:rFonts w:ascii="Wingdings" w:hAnsi="Wingdings" w:hint="default"/>
      </w:rPr>
    </w:lvl>
    <w:lvl w:ilvl="3" w:tplc="B512EC2E" w:tentative="1">
      <w:start w:val="1"/>
      <w:numFmt w:val="bullet"/>
      <w:lvlText w:val=""/>
      <w:lvlJc w:val="left"/>
      <w:pPr>
        <w:tabs>
          <w:tab w:val="num" w:pos="2880"/>
        </w:tabs>
        <w:ind w:left="2880" w:hanging="360"/>
      </w:pPr>
      <w:rPr>
        <w:rFonts w:ascii="Wingdings" w:hAnsi="Wingdings" w:hint="default"/>
      </w:rPr>
    </w:lvl>
    <w:lvl w:ilvl="4" w:tplc="59DA8BAC" w:tentative="1">
      <w:start w:val="1"/>
      <w:numFmt w:val="bullet"/>
      <w:lvlText w:val=""/>
      <w:lvlJc w:val="left"/>
      <w:pPr>
        <w:tabs>
          <w:tab w:val="num" w:pos="3600"/>
        </w:tabs>
        <w:ind w:left="3600" w:hanging="360"/>
      </w:pPr>
      <w:rPr>
        <w:rFonts w:ascii="Wingdings" w:hAnsi="Wingdings" w:hint="default"/>
      </w:rPr>
    </w:lvl>
    <w:lvl w:ilvl="5" w:tplc="C44C0B1C" w:tentative="1">
      <w:start w:val="1"/>
      <w:numFmt w:val="bullet"/>
      <w:lvlText w:val=""/>
      <w:lvlJc w:val="left"/>
      <w:pPr>
        <w:tabs>
          <w:tab w:val="num" w:pos="4320"/>
        </w:tabs>
        <w:ind w:left="4320" w:hanging="360"/>
      </w:pPr>
      <w:rPr>
        <w:rFonts w:ascii="Wingdings" w:hAnsi="Wingdings" w:hint="default"/>
      </w:rPr>
    </w:lvl>
    <w:lvl w:ilvl="6" w:tplc="8F06787C" w:tentative="1">
      <w:start w:val="1"/>
      <w:numFmt w:val="bullet"/>
      <w:lvlText w:val=""/>
      <w:lvlJc w:val="left"/>
      <w:pPr>
        <w:tabs>
          <w:tab w:val="num" w:pos="5040"/>
        </w:tabs>
        <w:ind w:left="5040" w:hanging="360"/>
      </w:pPr>
      <w:rPr>
        <w:rFonts w:ascii="Wingdings" w:hAnsi="Wingdings" w:hint="default"/>
      </w:rPr>
    </w:lvl>
    <w:lvl w:ilvl="7" w:tplc="C3949634" w:tentative="1">
      <w:start w:val="1"/>
      <w:numFmt w:val="bullet"/>
      <w:lvlText w:val=""/>
      <w:lvlJc w:val="left"/>
      <w:pPr>
        <w:tabs>
          <w:tab w:val="num" w:pos="5760"/>
        </w:tabs>
        <w:ind w:left="5760" w:hanging="360"/>
      </w:pPr>
      <w:rPr>
        <w:rFonts w:ascii="Wingdings" w:hAnsi="Wingdings" w:hint="default"/>
      </w:rPr>
    </w:lvl>
    <w:lvl w:ilvl="8" w:tplc="DCCE7ED6" w:tentative="1">
      <w:start w:val="1"/>
      <w:numFmt w:val="bullet"/>
      <w:lvlText w:val=""/>
      <w:lvlJc w:val="left"/>
      <w:pPr>
        <w:tabs>
          <w:tab w:val="num" w:pos="6480"/>
        </w:tabs>
        <w:ind w:left="6480" w:hanging="360"/>
      </w:pPr>
      <w:rPr>
        <w:rFonts w:ascii="Wingdings" w:hAnsi="Wingdings" w:hint="default"/>
      </w:rPr>
    </w:lvl>
  </w:abstractNum>
  <w:abstractNum w:abstractNumId="6">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4D5423F"/>
    <w:multiLevelType w:val="hybridMultilevel"/>
    <w:tmpl w:val="38AECA52"/>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3A91E44"/>
    <w:multiLevelType w:val="hybridMultilevel"/>
    <w:tmpl w:val="7CD47788"/>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DE10ED4"/>
    <w:multiLevelType w:val="hybridMultilevel"/>
    <w:tmpl w:val="26BA395C"/>
    <w:lvl w:ilvl="0" w:tplc="12246B64">
      <w:start w:val="1"/>
      <w:numFmt w:val="bullet"/>
      <w:lvlText w:val=""/>
      <w:lvlJc w:val="left"/>
      <w:pPr>
        <w:tabs>
          <w:tab w:val="num" w:pos="720"/>
        </w:tabs>
        <w:ind w:left="720" w:hanging="360"/>
      </w:pPr>
      <w:rPr>
        <w:rFonts w:ascii="Wingdings" w:hAnsi="Wingdings" w:hint="default"/>
      </w:rPr>
    </w:lvl>
    <w:lvl w:ilvl="1" w:tplc="45B6C9F6">
      <w:start w:val="1"/>
      <w:numFmt w:val="bullet"/>
      <w:lvlText w:val=""/>
      <w:lvlJc w:val="left"/>
      <w:pPr>
        <w:tabs>
          <w:tab w:val="num" w:pos="1440"/>
        </w:tabs>
        <w:ind w:left="1440" w:hanging="360"/>
      </w:pPr>
      <w:rPr>
        <w:rFonts w:ascii="Wingdings" w:hAnsi="Wingdings" w:hint="default"/>
      </w:rPr>
    </w:lvl>
    <w:lvl w:ilvl="2" w:tplc="5C6AD8AA">
      <w:numFmt w:val="bullet"/>
      <w:lvlText w:val="•"/>
      <w:lvlJc w:val="left"/>
      <w:pPr>
        <w:tabs>
          <w:tab w:val="num" w:pos="2160"/>
        </w:tabs>
        <w:ind w:left="2160" w:hanging="360"/>
      </w:pPr>
      <w:rPr>
        <w:rFonts w:ascii="Arial" w:hAnsi="Arial" w:hint="default"/>
      </w:rPr>
    </w:lvl>
    <w:lvl w:ilvl="3" w:tplc="9A36AD8E" w:tentative="1">
      <w:start w:val="1"/>
      <w:numFmt w:val="bullet"/>
      <w:lvlText w:val=""/>
      <w:lvlJc w:val="left"/>
      <w:pPr>
        <w:tabs>
          <w:tab w:val="num" w:pos="2880"/>
        </w:tabs>
        <w:ind w:left="2880" w:hanging="360"/>
      </w:pPr>
      <w:rPr>
        <w:rFonts w:ascii="Wingdings" w:hAnsi="Wingdings" w:hint="default"/>
      </w:rPr>
    </w:lvl>
    <w:lvl w:ilvl="4" w:tplc="B67C6AC4" w:tentative="1">
      <w:start w:val="1"/>
      <w:numFmt w:val="bullet"/>
      <w:lvlText w:val=""/>
      <w:lvlJc w:val="left"/>
      <w:pPr>
        <w:tabs>
          <w:tab w:val="num" w:pos="3600"/>
        </w:tabs>
        <w:ind w:left="3600" w:hanging="360"/>
      </w:pPr>
      <w:rPr>
        <w:rFonts w:ascii="Wingdings" w:hAnsi="Wingdings" w:hint="default"/>
      </w:rPr>
    </w:lvl>
    <w:lvl w:ilvl="5" w:tplc="70DC465A" w:tentative="1">
      <w:start w:val="1"/>
      <w:numFmt w:val="bullet"/>
      <w:lvlText w:val=""/>
      <w:lvlJc w:val="left"/>
      <w:pPr>
        <w:tabs>
          <w:tab w:val="num" w:pos="4320"/>
        </w:tabs>
        <w:ind w:left="4320" w:hanging="360"/>
      </w:pPr>
      <w:rPr>
        <w:rFonts w:ascii="Wingdings" w:hAnsi="Wingdings" w:hint="default"/>
      </w:rPr>
    </w:lvl>
    <w:lvl w:ilvl="6" w:tplc="4B7EB3C4" w:tentative="1">
      <w:start w:val="1"/>
      <w:numFmt w:val="bullet"/>
      <w:lvlText w:val=""/>
      <w:lvlJc w:val="left"/>
      <w:pPr>
        <w:tabs>
          <w:tab w:val="num" w:pos="5040"/>
        </w:tabs>
        <w:ind w:left="5040" w:hanging="360"/>
      </w:pPr>
      <w:rPr>
        <w:rFonts w:ascii="Wingdings" w:hAnsi="Wingdings" w:hint="default"/>
      </w:rPr>
    </w:lvl>
    <w:lvl w:ilvl="7" w:tplc="EF706430" w:tentative="1">
      <w:start w:val="1"/>
      <w:numFmt w:val="bullet"/>
      <w:lvlText w:val=""/>
      <w:lvlJc w:val="left"/>
      <w:pPr>
        <w:tabs>
          <w:tab w:val="num" w:pos="5760"/>
        </w:tabs>
        <w:ind w:left="5760" w:hanging="360"/>
      </w:pPr>
      <w:rPr>
        <w:rFonts w:ascii="Wingdings" w:hAnsi="Wingdings" w:hint="default"/>
      </w:rPr>
    </w:lvl>
    <w:lvl w:ilvl="8" w:tplc="FEEA0D52" w:tentative="1">
      <w:start w:val="1"/>
      <w:numFmt w:val="bullet"/>
      <w:lvlText w:val=""/>
      <w:lvlJc w:val="left"/>
      <w:pPr>
        <w:tabs>
          <w:tab w:val="num" w:pos="6480"/>
        </w:tabs>
        <w:ind w:left="6480" w:hanging="360"/>
      </w:pPr>
      <w:rPr>
        <w:rFonts w:ascii="Wingdings" w:hAnsi="Wingdings" w:hint="default"/>
      </w:rPr>
    </w:lvl>
  </w:abstractNum>
  <w:abstractNum w:abstractNumId="2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1A4F66"/>
    <w:multiLevelType w:val="hybridMultilevel"/>
    <w:tmpl w:val="648CBB1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6">
    <w:nsid w:val="78830765"/>
    <w:multiLevelType w:val="hybridMultilevel"/>
    <w:tmpl w:val="D650576A"/>
    <w:lvl w:ilvl="0" w:tplc="C108EC3C">
      <w:start w:val="4"/>
      <w:numFmt w:val="bullet"/>
      <w:lvlText w:val="-"/>
      <w:lvlJc w:val="left"/>
      <w:pPr>
        <w:ind w:left="1500" w:hanging="420"/>
      </w:pPr>
      <w:rPr>
        <w:rFonts w:ascii="Times New Roman" w:eastAsia="Malgun Gothic"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nsid w:val="799932A6"/>
    <w:multiLevelType w:val="hybridMultilevel"/>
    <w:tmpl w:val="7D3A94B8"/>
    <w:lvl w:ilvl="0" w:tplc="EF869B62">
      <w:start w:val="1"/>
      <w:numFmt w:val="bullet"/>
      <w:lvlText w:val=""/>
      <w:lvlJc w:val="left"/>
      <w:pPr>
        <w:tabs>
          <w:tab w:val="num" w:pos="720"/>
        </w:tabs>
        <w:ind w:left="720" w:hanging="360"/>
      </w:pPr>
      <w:rPr>
        <w:rFonts w:ascii="Wingdings" w:hAnsi="Wingdings" w:hint="default"/>
      </w:rPr>
    </w:lvl>
    <w:lvl w:ilvl="1" w:tplc="A2483604">
      <w:numFmt w:val="bullet"/>
      <w:lvlText w:val=""/>
      <w:lvlJc w:val="left"/>
      <w:pPr>
        <w:tabs>
          <w:tab w:val="num" w:pos="1440"/>
        </w:tabs>
        <w:ind w:left="1440" w:hanging="360"/>
      </w:pPr>
      <w:rPr>
        <w:rFonts w:ascii="Wingdings" w:hAnsi="Wingdings" w:hint="default"/>
      </w:rPr>
    </w:lvl>
    <w:lvl w:ilvl="2" w:tplc="A6325A62" w:tentative="1">
      <w:start w:val="1"/>
      <w:numFmt w:val="bullet"/>
      <w:lvlText w:val=""/>
      <w:lvlJc w:val="left"/>
      <w:pPr>
        <w:tabs>
          <w:tab w:val="num" w:pos="2160"/>
        </w:tabs>
        <w:ind w:left="2160" w:hanging="360"/>
      </w:pPr>
      <w:rPr>
        <w:rFonts w:ascii="Wingdings" w:hAnsi="Wingdings" w:hint="default"/>
      </w:rPr>
    </w:lvl>
    <w:lvl w:ilvl="3" w:tplc="DDDCBCB6" w:tentative="1">
      <w:start w:val="1"/>
      <w:numFmt w:val="bullet"/>
      <w:lvlText w:val=""/>
      <w:lvlJc w:val="left"/>
      <w:pPr>
        <w:tabs>
          <w:tab w:val="num" w:pos="2880"/>
        </w:tabs>
        <w:ind w:left="2880" w:hanging="360"/>
      </w:pPr>
      <w:rPr>
        <w:rFonts w:ascii="Wingdings" w:hAnsi="Wingdings" w:hint="default"/>
      </w:rPr>
    </w:lvl>
    <w:lvl w:ilvl="4" w:tplc="1D280678" w:tentative="1">
      <w:start w:val="1"/>
      <w:numFmt w:val="bullet"/>
      <w:lvlText w:val=""/>
      <w:lvlJc w:val="left"/>
      <w:pPr>
        <w:tabs>
          <w:tab w:val="num" w:pos="3600"/>
        </w:tabs>
        <w:ind w:left="3600" w:hanging="360"/>
      </w:pPr>
      <w:rPr>
        <w:rFonts w:ascii="Wingdings" w:hAnsi="Wingdings" w:hint="default"/>
      </w:rPr>
    </w:lvl>
    <w:lvl w:ilvl="5" w:tplc="A8D20DBC" w:tentative="1">
      <w:start w:val="1"/>
      <w:numFmt w:val="bullet"/>
      <w:lvlText w:val=""/>
      <w:lvlJc w:val="left"/>
      <w:pPr>
        <w:tabs>
          <w:tab w:val="num" w:pos="4320"/>
        </w:tabs>
        <w:ind w:left="4320" w:hanging="360"/>
      </w:pPr>
      <w:rPr>
        <w:rFonts w:ascii="Wingdings" w:hAnsi="Wingdings" w:hint="default"/>
      </w:rPr>
    </w:lvl>
    <w:lvl w:ilvl="6" w:tplc="21AE5E00" w:tentative="1">
      <w:start w:val="1"/>
      <w:numFmt w:val="bullet"/>
      <w:lvlText w:val=""/>
      <w:lvlJc w:val="left"/>
      <w:pPr>
        <w:tabs>
          <w:tab w:val="num" w:pos="5040"/>
        </w:tabs>
        <w:ind w:left="5040" w:hanging="360"/>
      </w:pPr>
      <w:rPr>
        <w:rFonts w:ascii="Wingdings" w:hAnsi="Wingdings" w:hint="default"/>
      </w:rPr>
    </w:lvl>
    <w:lvl w:ilvl="7" w:tplc="82D223C4" w:tentative="1">
      <w:start w:val="1"/>
      <w:numFmt w:val="bullet"/>
      <w:lvlText w:val=""/>
      <w:lvlJc w:val="left"/>
      <w:pPr>
        <w:tabs>
          <w:tab w:val="num" w:pos="5760"/>
        </w:tabs>
        <w:ind w:left="5760" w:hanging="360"/>
      </w:pPr>
      <w:rPr>
        <w:rFonts w:ascii="Wingdings" w:hAnsi="Wingdings" w:hint="default"/>
      </w:rPr>
    </w:lvl>
    <w:lvl w:ilvl="8" w:tplc="A22CFDC0" w:tentative="1">
      <w:start w:val="1"/>
      <w:numFmt w:val="bullet"/>
      <w:lvlText w:val=""/>
      <w:lvlJc w:val="left"/>
      <w:pPr>
        <w:tabs>
          <w:tab w:val="num" w:pos="6480"/>
        </w:tabs>
        <w:ind w:left="6480" w:hanging="360"/>
      </w:pPr>
      <w:rPr>
        <w:rFonts w:ascii="Wingdings" w:hAnsi="Wingdings" w:hint="default"/>
      </w:rPr>
    </w:lvl>
  </w:abstractNum>
  <w:abstractNum w:abstractNumId="28">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29"/>
  </w:num>
  <w:num w:numId="4">
    <w:abstractNumId w:val="28"/>
  </w:num>
  <w:num w:numId="5">
    <w:abstractNumId w:val="6"/>
  </w:num>
  <w:num w:numId="6">
    <w:abstractNumId w:val="9"/>
  </w:num>
  <w:num w:numId="7">
    <w:abstractNumId w:val="12"/>
  </w:num>
  <w:num w:numId="8">
    <w:abstractNumId w:val="14"/>
  </w:num>
  <w:num w:numId="9">
    <w:abstractNumId w:val="17"/>
  </w:num>
  <w:num w:numId="10">
    <w:abstractNumId w:val="23"/>
  </w:num>
  <w:num w:numId="11">
    <w:abstractNumId w:val="22"/>
  </w:num>
  <w:num w:numId="12">
    <w:abstractNumId w:val="5"/>
  </w:num>
  <w:num w:numId="13">
    <w:abstractNumId w:val="27"/>
  </w:num>
  <w:num w:numId="14">
    <w:abstractNumId w:val="19"/>
  </w:num>
  <w:num w:numId="15">
    <w:abstractNumId w:val="10"/>
  </w:num>
  <w:num w:numId="16">
    <w:abstractNumId w:val="26"/>
  </w:num>
  <w:num w:numId="17">
    <w:abstractNumId w:val="25"/>
  </w:num>
  <w:num w:numId="18">
    <w:abstractNumId w:val="4"/>
  </w:num>
  <w:num w:numId="19">
    <w:abstractNumId w:val="8"/>
  </w:num>
  <w:num w:numId="20">
    <w:abstractNumId w:val="18"/>
  </w:num>
  <w:num w:numId="21">
    <w:abstractNumId w:val="7"/>
  </w:num>
  <w:num w:numId="22">
    <w:abstractNumId w:val="1"/>
  </w:num>
  <w:num w:numId="23">
    <w:abstractNumId w:val="11"/>
  </w:num>
  <w:num w:numId="24">
    <w:abstractNumId w:val="21"/>
  </w:num>
  <w:num w:numId="25">
    <w:abstractNumId w:val="13"/>
  </w:num>
  <w:num w:numId="26">
    <w:abstractNumId w:val="2"/>
  </w:num>
  <w:num w:numId="27">
    <w:abstractNumId w:val="20"/>
  </w:num>
  <w:num w:numId="28">
    <w:abstractNumId w:val="16"/>
  </w:num>
  <w:num w:numId="29">
    <w:abstractNumId w:val="0"/>
  </w:num>
  <w:num w:numId="3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F0E99-80AB-47F9-9FB1-E56F20453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1153</Words>
  <Characters>6575</Characters>
  <Application>Microsoft Office Word</Application>
  <DocSecurity>0</DocSecurity>
  <PresentationFormat/>
  <Lines>54</Lines>
  <Paragraphs>15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2</cp:revision>
  <dcterms:created xsi:type="dcterms:W3CDTF">2022-08-08T09:11:00Z</dcterms:created>
  <dcterms:modified xsi:type="dcterms:W3CDTF">2022-08-08T09:11:00Z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